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Federal state budgetary educational institution of higher education "Saint Petersburg state University of architecture and construction"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FGBOU VO SPBGASU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Yevgeny Rybnov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Rector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2</w:t>
            </w:r>
            <w:r>
              <w:rPr>
                <w:sz w:val="28"/>
                <w:szCs w:val="28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Krasnoarmeyskaya St., </w:t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Saint-Petersburg, </w:t>
            </w:r>
            <w:r>
              <w:rPr>
                <w:sz w:val="28"/>
                <w:szCs w:val="28"/>
                <w:lang w:val="en-US"/>
              </w:rPr>
              <w:t>190005</w:t>
            </w:r>
            <w:r>
              <w:rPr>
                <w:sz w:val="28"/>
                <w:szCs w:val="28"/>
                <w:lang w:val="en-US"/>
              </w:rPr>
              <w:t xml:space="preserve"> 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+7 (812) 400-06-67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spbgasu.ru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rector@spbgasu.ru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82</Words>
  <Characters>526</Characters>
  <CharactersWithSpaces>591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2020-05-05T10:56:30Z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